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2" w:rsidRPr="0014139B" w:rsidRDefault="002351D6" w:rsidP="002351D6">
      <w:pPr>
        <w:spacing w:after="0"/>
        <w:ind w:left="-567" w:firstLine="687"/>
        <w:rPr>
          <w:lang w:val="ru-RU"/>
        </w:rPr>
      </w:pPr>
      <w:bookmarkStart w:id="0" w:name="block-18226726"/>
      <w:bookmarkStart w:id="1" w:name="_GoBack"/>
      <w:r>
        <w:rPr>
          <w:noProof/>
          <w:lang w:val="ru-RU" w:eastAsia="ru-RU"/>
        </w:rPr>
        <w:drawing>
          <wp:inline distT="0" distB="0" distL="0" distR="0" wp14:anchorId="232BEDDE" wp14:editId="675132B1">
            <wp:extent cx="6619875" cy="8467725"/>
            <wp:effectExtent l="0" t="0" r="0" b="0"/>
            <wp:docPr id="1" name="Рисунок 1" descr="C:\Users\Алексенко\Desktop\билет\старш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нко\Desktop\билет\старш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35" cy="84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34652" w:rsidRPr="0014139B" w:rsidRDefault="00234652">
      <w:pPr>
        <w:rPr>
          <w:lang w:val="ru-RU"/>
        </w:rPr>
        <w:sectPr w:rsidR="00234652" w:rsidRPr="0014139B" w:rsidSect="002351D6">
          <w:pgSz w:w="11906" w:h="16383"/>
          <w:pgMar w:top="1134" w:right="850" w:bottom="1134" w:left="709" w:header="720" w:footer="720" w:gutter="0"/>
          <w:cols w:space="720"/>
        </w:sectPr>
      </w:pPr>
    </w:p>
    <w:p w:rsidR="00234652" w:rsidRPr="0014139B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18226727"/>
      <w:bookmarkEnd w:id="0"/>
      <w:r w:rsidRPr="0014139B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234652" w:rsidRPr="0014139B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в области физической культуры.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достиженческой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прикладно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операциональным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3" w:name="ceba58f0-def2-488e-88c8-f4292ccf0380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3"/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234652">
      <w:pPr>
        <w:rPr>
          <w:sz w:val="18"/>
          <w:szCs w:val="18"/>
          <w:lang w:val="ru-RU"/>
        </w:rPr>
        <w:sectPr w:rsidR="00234652" w:rsidRPr="004D4056">
          <w:pgSz w:w="11906" w:h="16383"/>
          <w:pgMar w:top="1134" w:right="850" w:bottom="1134" w:left="1701" w:header="720" w:footer="720" w:gutter="0"/>
          <w:cols w:space="720"/>
        </w:sect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4" w:name="block-18226722"/>
      <w:bookmarkEnd w:id="2"/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10 КЛАСС</w:t>
      </w:r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Знания о физической культуре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прикладно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-ориентированная,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соревновательно-достиженческая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прикладно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Способы самостоятельной двигательной деятельности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Руфье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Физическое совершенствование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Физкультурно-оздоровительная деятельность.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Спортивно-оздоровительная деятельность.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«Спортивные игры».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Прикладно</w:t>
      </w:r>
      <w:proofErr w:type="spellEnd"/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-ориентированная двигательная деятельность.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34652" w:rsidRPr="004D4056" w:rsidRDefault="00234652">
      <w:pPr>
        <w:spacing w:after="0"/>
        <w:ind w:left="120"/>
        <w:rPr>
          <w:sz w:val="18"/>
          <w:szCs w:val="18"/>
          <w:lang w:val="ru-RU"/>
        </w:rPr>
      </w:pPr>
      <w:bookmarkStart w:id="5" w:name="_Toc137510617"/>
      <w:bookmarkEnd w:id="5"/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11 КЛАСС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Знания о физической культуре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Способы самостоятельной двигательной деятельности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синхрогимнастика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методу «Ключ»).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Банные процедуры, их назначение и правила проведения, основные способы парения.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Физическое совершенствование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Физкультурно-оздоровительная деятельность.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Стретчинг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Спортивно-оздоровительная деятельность.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«Спортивные игры».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Прикладно</w:t>
      </w:r>
      <w:proofErr w:type="spellEnd"/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-ориентированная двигательная деятельность.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самостраховка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, стойки, захваты, броски).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Программа вариативного модуля «Базовая физическая подготовка».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Общая физическая подготовка. </w:t>
      </w:r>
    </w:p>
    <w:p w:rsidR="00234652" w:rsidRPr="0014139B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Развитие силовых способностей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напрыгивание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спрыгивание, прыжки через скакалку,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многоскоки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</w:t>
      </w:r>
      <w:r w:rsidRPr="0014139B">
        <w:rPr>
          <w:rFonts w:ascii="Times New Roman" w:hAnsi="Times New Roman"/>
          <w:color w:val="000000"/>
          <w:sz w:val="18"/>
          <w:szCs w:val="18"/>
          <w:lang w:val="ru-RU"/>
        </w:rPr>
        <w:t xml:space="preserve">(импровизированный баскетбол с набивным мячом и </w:t>
      </w:r>
      <w:proofErr w:type="gramStart"/>
      <w:r w:rsidRPr="0014139B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14139B">
        <w:rPr>
          <w:rFonts w:ascii="Times New Roman" w:hAnsi="Times New Roman"/>
          <w:color w:val="000000"/>
          <w:sz w:val="18"/>
          <w:szCs w:val="18"/>
          <w:lang w:val="ru-RU"/>
        </w:rPr>
        <w:t>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Развитие скоростных способностей.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прямой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обегание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Развитие выносливости.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субмаксимальной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интенсивности. Кроссовый бег и марш-бросок на лыжах.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Развитие координации движений.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Развитие гибкости.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полушпагат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, шпагат,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выкруты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гимнастической палки).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Специальная физическая подготовка.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Модуль «Гимнастика»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выкруты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полушпагат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, шпагат, складка, мост).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положения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со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Модуль «Лёгкая атлетика»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полуприседе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прямой, на повороте и со старта). Бег с максимальной скоростью </w:t>
      </w:r>
      <w:r w:rsidRPr="004D4056">
        <w:rPr>
          <w:rFonts w:ascii="Times New Roman" w:hAnsi="Times New Roman"/>
          <w:color w:val="000000"/>
          <w:sz w:val="18"/>
          <w:szCs w:val="18"/>
        </w:rPr>
        <w:t xml:space="preserve">«с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</w:rPr>
        <w:t>ходу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</w:rPr>
        <w:t xml:space="preserve">». 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многоскоки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, и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многоскоки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переходящие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в бег с ускорением. Подвижные и спортивные игры, эстафеты.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Модуль «Зимние виды спорта»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субмаксимальной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интенсивности, с соревновательной скоростью.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Модуль «Спортивные игры»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многоскоков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Напрыгивание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спрыгивание с последующим ускорением.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Многоскоки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многоскоков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полуприседе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14139B">
        <w:rPr>
          <w:rFonts w:ascii="Times New Roman" w:hAnsi="Times New Roman"/>
          <w:color w:val="000000"/>
          <w:sz w:val="18"/>
          <w:szCs w:val="18"/>
          <w:lang w:val="ru-RU"/>
        </w:rPr>
        <w:t xml:space="preserve">(повторение движений партнёра). 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proofErr w:type="gramStart"/>
      <w:r w:rsidRPr="004D4056">
        <w:rPr>
          <w:rFonts w:ascii="Times New Roman" w:hAnsi="Times New Roman"/>
          <w:color w:val="000000"/>
          <w:sz w:val="18"/>
          <w:szCs w:val="18"/>
        </w:rPr>
        <w:t>Футбол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</w:rPr>
        <w:t>Развитие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</w:rPr>
        <w:t>скоростных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</w:rPr>
        <w:t>способностей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«рывками», изменением направления передвижения. Бег в максимальном темпе.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Многоскоки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34652" w:rsidRPr="004D4056" w:rsidRDefault="00234652">
      <w:pPr>
        <w:rPr>
          <w:sz w:val="18"/>
          <w:szCs w:val="18"/>
          <w:lang w:val="ru-RU"/>
        </w:rPr>
        <w:sectPr w:rsidR="00234652" w:rsidRPr="004D4056">
          <w:pgSz w:w="11906" w:h="16383"/>
          <w:pgMar w:top="1134" w:right="850" w:bottom="1134" w:left="1701" w:header="720" w:footer="720" w:gutter="0"/>
          <w:cols w:space="720"/>
        </w:sect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6" w:name="_Toc137548640"/>
      <w:bookmarkStart w:id="7" w:name="block-18226723"/>
      <w:bookmarkEnd w:id="4"/>
      <w:bookmarkEnd w:id="6"/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34652" w:rsidRPr="004D4056" w:rsidRDefault="00234652">
      <w:pPr>
        <w:spacing w:after="0"/>
        <w:ind w:left="120"/>
        <w:rPr>
          <w:sz w:val="18"/>
          <w:szCs w:val="18"/>
          <w:lang w:val="ru-RU"/>
        </w:rPr>
      </w:pPr>
      <w:bookmarkStart w:id="8" w:name="_Toc137548641"/>
      <w:bookmarkEnd w:id="8"/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обучающегося будут сформированы следующие личностные результаты: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1)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гражданского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осознание своих конституционных прав и обязанностей, уважение закона и правопорядка;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готовность к гуманитарной и волонтёрской деятельности;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2)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патриотического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3)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духовно-нравственного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осознание духовных ценностей российского народа;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нравственного сознания, этического поведения;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осознание личного вклада в построение устойчивого будущего;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4)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эстетического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5)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потребность в физическом совершенствовании, занятиях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спортивно-оздоровительной деятельностью;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6)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трудового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готовность к труду, осознание приобретённых умений и навыков, трудолюбие;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готовность и способность к образованию и самообразованию на протяжении всей жизни;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7)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экологического воспитания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активное неприятие действий, приносящих вред окружающей среде;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расширение опыта деятельности экологической направленности.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8) </w:t>
      </w: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ценности научного познания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234652" w:rsidRPr="004D4056" w:rsidRDefault="00234652">
      <w:pPr>
        <w:spacing w:after="0"/>
        <w:ind w:left="120"/>
        <w:rPr>
          <w:sz w:val="18"/>
          <w:szCs w:val="18"/>
          <w:lang w:val="ru-RU"/>
        </w:rPr>
      </w:pPr>
      <w:bookmarkStart w:id="9" w:name="_Toc137510620"/>
      <w:bookmarkEnd w:id="9"/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10" w:name="_Toc134720971"/>
      <w:bookmarkEnd w:id="10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</w:t>
      </w: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следующие базовые логические действия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определять цели деятельности, задавать параметры и критерии их достижения;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закономерности и противоречия в рассматриваемых явлениях;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развивать креативное мышление при решении жизненных проблем.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исследовательские действия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новым ситуациям, оценивать приобретённый опыт;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уметь переносить знания в познавательную и практическую области жизнедеятельности;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уметь интегрировать знания из разных предметных областей;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умения работать с информацией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осуществлять коммуникации во всех сферах жизни;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владеть различными способами общения и взаимодействия;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 вести диалог, уметь смягчать конфликтные ситуации;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развёрнуто и логично излагать свою точку зрения с использованием языковых средств.</w:t>
      </w: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самоорганизации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регулятивных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новым ситуациям;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расширять рамки учебного предмета на основе личных предпочтений;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делать осознанный выбор, аргументировать его, брать ответственность за решение;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оценивать приобретённый опыт;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постоянно повышать свой образовательный и культурный уровень;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самоконтроля, принятия себя и других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регулятивных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приёмы рефлексии для оценки ситуации, выбора верного решения;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уметь оценивать риски и своевременно принимать решения по их снижению;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принимать мотивы и аргументы других при анализе результатов деятельности;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принимать себя, понимая свои недостатки и достоинства;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принимать мотивы и аргументы других при анализе результатов деятельности;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право и право других на ошибки;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развивать способность понимать мир с позиции другого человека.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D4056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совместной деятельности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коммуникативных универсальных учебных действий: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понимать и использовать преимущества командной и индивидуальной работы;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234652" w:rsidRPr="004D4056" w:rsidRDefault="00234652">
      <w:pPr>
        <w:spacing w:after="0"/>
        <w:ind w:left="120"/>
        <w:rPr>
          <w:sz w:val="18"/>
          <w:szCs w:val="18"/>
          <w:lang w:val="ru-RU"/>
        </w:rPr>
      </w:pPr>
      <w:bookmarkStart w:id="11" w:name="_Toc137510621"/>
      <w:bookmarkEnd w:id="11"/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10 классе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 xml:space="preserve">Раздел «Знания о физической культуре»: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Раздел «Организация самостоятельных занятий»: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Раздел «Физическое совершенствование»: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234652" w:rsidRPr="004D4056" w:rsidRDefault="0023465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234652" w:rsidRPr="004D4056" w:rsidRDefault="004D4056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11 классе</w:t>
      </w: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 xml:space="preserve">Раздел «Знания о физической культуре»: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Раздел «Организация самостоятельных занятий»: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Раздел «Физическое совершенствование»: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234652" w:rsidRPr="004D4056" w:rsidRDefault="004D4056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4D4056">
        <w:rPr>
          <w:rFonts w:ascii="Times New Roman" w:hAnsi="Times New Roman"/>
          <w:color w:val="000000"/>
          <w:sz w:val="18"/>
          <w:szCs w:val="1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234652" w:rsidRPr="004D4056" w:rsidRDefault="00234652">
      <w:pPr>
        <w:rPr>
          <w:lang w:val="ru-RU"/>
        </w:rPr>
        <w:sectPr w:rsidR="00234652" w:rsidRPr="004D4056">
          <w:pgSz w:w="11906" w:h="16383"/>
          <w:pgMar w:top="1134" w:right="850" w:bottom="1134" w:left="1701" w:header="720" w:footer="720" w:gutter="0"/>
          <w:cols w:space="720"/>
        </w:sectPr>
      </w:pPr>
    </w:p>
    <w:p w:rsidR="00234652" w:rsidRDefault="004D4056">
      <w:pPr>
        <w:spacing w:after="0"/>
        <w:ind w:left="120"/>
      </w:pPr>
      <w:bookmarkStart w:id="12" w:name="block-18226724"/>
      <w:bookmarkEnd w:id="7"/>
      <w:r w:rsidRPr="004D4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4652" w:rsidRDefault="004D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46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</w:tbl>
    <w:p w:rsidR="00234652" w:rsidRDefault="00234652">
      <w:pPr>
        <w:sectPr w:rsidR="0023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52" w:rsidRDefault="004D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46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 w:rsidRPr="00235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</w:tbl>
    <w:p w:rsidR="00234652" w:rsidRDefault="00234652">
      <w:pPr>
        <w:sectPr w:rsidR="0023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52" w:rsidRDefault="00234652">
      <w:pPr>
        <w:sectPr w:rsidR="0023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52" w:rsidRDefault="004D4056">
      <w:pPr>
        <w:spacing w:after="0"/>
        <w:ind w:left="120"/>
      </w:pPr>
      <w:bookmarkStart w:id="13" w:name="block-182267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4652" w:rsidRDefault="004D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23465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легкой атлетикой.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100м.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гранаты на дальность полета.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гранаты на дальность полета.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3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4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5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6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 физической культуры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7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8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9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психологическое, социальное здоровье.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0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1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правила судейства.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</w:tbl>
    <w:p w:rsidR="00234652" w:rsidRDefault="00234652">
      <w:pPr>
        <w:sectPr w:rsidR="0023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52" w:rsidRDefault="004D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346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52" w:rsidRDefault="0023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52" w:rsidRDefault="00234652"/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2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 способом "Согнув ноги"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гранаты на дальность полета.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гранаты на дальность полета.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3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переломах, травмах и ушибах.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4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5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оздоровительной физической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6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подачи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7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8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19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0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3км или 5 км.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1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1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2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3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4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5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6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7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8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Правила судейства.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29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4652" w:rsidRDefault="0023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4652" w:rsidRDefault="002351D6">
            <w:pPr>
              <w:spacing w:after="0"/>
              <w:ind w:left="135"/>
            </w:pPr>
            <w:hyperlink r:id="rId230">
              <w:r w:rsidR="004D40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D405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3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Pr="004D4056" w:rsidRDefault="004D4056">
            <w:pPr>
              <w:spacing w:after="0"/>
              <w:ind w:left="135"/>
              <w:rPr>
                <w:lang w:val="ru-RU"/>
              </w:rPr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 w:rsidRPr="004D4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4652" w:rsidRDefault="004D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52" w:rsidRDefault="00234652"/>
        </w:tc>
      </w:tr>
    </w:tbl>
    <w:p w:rsidR="00234652" w:rsidRDefault="00234652">
      <w:pPr>
        <w:sectPr w:rsidR="0023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52" w:rsidRDefault="00234652">
      <w:pPr>
        <w:sectPr w:rsidR="0023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52" w:rsidRDefault="004D4056">
      <w:pPr>
        <w:spacing w:after="0"/>
        <w:ind w:left="120"/>
      </w:pPr>
      <w:bookmarkStart w:id="14" w:name="block-182267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4652" w:rsidRDefault="004D40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4652" w:rsidRDefault="00234652">
      <w:pPr>
        <w:spacing w:after="0" w:line="480" w:lineRule="auto"/>
        <w:ind w:left="120"/>
      </w:pPr>
    </w:p>
    <w:p w:rsidR="00234652" w:rsidRDefault="00234652">
      <w:pPr>
        <w:spacing w:after="0" w:line="480" w:lineRule="auto"/>
        <w:ind w:left="120"/>
      </w:pPr>
    </w:p>
    <w:p w:rsidR="00234652" w:rsidRDefault="00234652">
      <w:pPr>
        <w:spacing w:after="0"/>
        <w:ind w:left="120"/>
      </w:pPr>
    </w:p>
    <w:p w:rsidR="00234652" w:rsidRDefault="004D40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4652" w:rsidRDefault="00234652">
      <w:pPr>
        <w:spacing w:after="0" w:line="480" w:lineRule="auto"/>
        <w:ind w:left="120"/>
      </w:pPr>
    </w:p>
    <w:p w:rsidR="00234652" w:rsidRDefault="00234652">
      <w:pPr>
        <w:spacing w:after="0"/>
        <w:ind w:left="120"/>
      </w:pPr>
    </w:p>
    <w:p w:rsidR="00234652" w:rsidRPr="004D4056" w:rsidRDefault="004D4056">
      <w:pPr>
        <w:spacing w:after="0" w:line="480" w:lineRule="auto"/>
        <w:ind w:left="120"/>
        <w:rPr>
          <w:lang w:val="ru-RU"/>
        </w:rPr>
      </w:pPr>
      <w:r w:rsidRPr="004D40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4652" w:rsidRDefault="004D4056">
      <w:pPr>
        <w:spacing w:after="0" w:line="480" w:lineRule="auto"/>
        <w:ind w:left="120"/>
      </w:pPr>
      <w:bookmarkStart w:id="15" w:name="9a54c4b8-b2ef-4fc1-87b1-da44b5d58279"/>
      <w:r>
        <w:rPr>
          <w:rFonts w:ascii="Times New Roman" w:hAnsi="Times New Roman"/>
          <w:color w:val="000000"/>
          <w:sz w:val="28"/>
        </w:rPr>
        <w:t>https://resh.edu.ru/.</w:t>
      </w:r>
      <w:bookmarkEnd w:id="15"/>
    </w:p>
    <w:p w:rsidR="00234652" w:rsidRDefault="00234652">
      <w:pPr>
        <w:sectPr w:rsidR="0023465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D4056" w:rsidRDefault="004D4056"/>
    <w:sectPr w:rsidR="004D40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4652"/>
    <w:rsid w:val="0014139B"/>
    <w:rsid w:val="00234652"/>
    <w:rsid w:val="002351D6"/>
    <w:rsid w:val="00477AAD"/>
    <w:rsid w:val="004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11596</Words>
  <Characters>66102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Алексенко</cp:lastModifiedBy>
  <cp:revision>5</cp:revision>
  <cp:lastPrinted>2024-09-01T07:15:00Z</cp:lastPrinted>
  <dcterms:created xsi:type="dcterms:W3CDTF">2023-11-07T14:07:00Z</dcterms:created>
  <dcterms:modified xsi:type="dcterms:W3CDTF">2024-09-04T14:18:00Z</dcterms:modified>
</cp:coreProperties>
</file>